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rPr>
          <w:rFonts w:ascii="Arial" w:cs="Arial" w:eastAsia="Arial" w:hAnsi="Arial"/>
          <w:b w:val="1"/>
          <w:sz w:val="22"/>
          <w:szCs w:val="22"/>
        </w:rPr>
      </w:pPr>
      <w:r w:rsidDel="00000000" w:rsidR="00000000" w:rsidRPr="00000000">
        <w:rPr>
          <w:rFonts w:ascii="Arial" w:cs="Arial" w:eastAsia="Arial" w:hAnsi="Arial"/>
          <w:b w:val="1"/>
          <w:color w:val="6d6d6a"/>
          <w:sz w:val="18"/>
          <w:szCs w:val="18"/>
        </w:rPr>
        <mc:AlternateContent>
          <mc:Choice Requires="wpg">
            <w:drawing>
              <wp:inline distB="114300" distT="114300" distL="114300" distR="114300">
                <wp:extent cx="6492240" cy="547280"/>
                <wp:effectExtent b="0" l="0" r="0" t="0"/>
                <wp:docPr id="1" name=""/>
                <a:graphic>
                  <a:graphicData uri="http://schemas.microsoft.com/office/word/2010/wordprocessingGroup">
                    <wpg:wgp>
                      <wpg:cNvGrpSpPr/>
                      <wpg:grpSpPr>
                        <a:xfrm>
                          <a:off x="1217525" y="896125"/>
                          <a:ext cx="6492240" cy="547280"/>
                          <a:chOff x="1217525" y="896125"/>
                          <a:chExt cx="5747150" cy="467450"/>
                        </a:xfrm>
                      </wpg:grpSpPr>
                      <wps:wsp>
                        <wps:cNvSpPr/>
                        <wps:cNvPr id="2" name="Shape 2"/>
                        <wps:spPr>
                          <a:xfrm>
                            <a:off x="1217575" y="896125"/>
                            <a:ext cx="5747100" cy="467400"/>
                          </a:xfrm>
                          <a:prstGeom prst="round2SameRect">
                            <a:avLst>
                              <a:gd fmla="val 50000" name="adj1"/>
                              <a:gd fmla="val 0" name="adj2"/>
                            </a:avLst>
                          </a:prstGeom>
                          <a:gradFill>
                            <a:gsLst>
                              <a:gs pos="0">
                                <a:srgbClr val="28B1E6"/>
                              </a:gs>
                              <a:gs pos="87000">
                                <a:srgbClr val="FFFFFF">
                                  <a:alpha val="0"/>
                                </a:srgbClr>
                              </a:gs>
                              <a:gs pos="100000">
                                <a:srgbClr val="FFFFFF">
                                  <a:alpha val="0"/>
                                </a:srgbClr>
                              </a:gs>
                            </a:gsLst>
                            <a:lin ang="0" scaled="0"/>
                          </a:gra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ffffff"/>
                                  <w:sz w:val="28"/>
                                  <w:vertAlign w:val="baseline"/>
                                </w:rPr>
                                <w:t xml:space="preserve">   </w:t>
                              </w:r>
                            </w:p>
                          </w:txbxContent>
                        </wps:txbx>
                        <wps:bodyPr anchorCtr="0" anchor="ctr" bIns="91425" lIns="91425" spcFirstLastPara="1" rIns="91425" wrap="square" tIns="91425">
                          <a:noAutofit/>
                        </wps:bodyPr>
                      </wps:wsp>
                      <wps:wsp>
                        <wps:cNvSpPr txBox="1"/>
                        <wps:cNvPr id="3" name="Shape 3"/>
                        <wps:spPr>
                          <a:xfrm>
                            <a:off x="1422100" y="929725"/>
                            <a:ext cx="2902800" cy="400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ffffff"/>
                                  <w:sz w:val="28"/>
                                  <w:vertAlign w:val="baseline"/>
                                </w:rPr>
                                <w:t xml:space="preserve">TEACHER GUIDE</w:t>
                              </w:r>
                            </w:p>
                          </w:txbxContent>
                        </wps:txbx>
                        <wps:bodyPr anchorCtr="0" anchor="t" bIns="91425" lIns="91425" spcFirstLastPara="1" rIns="91425" wrap="square" tIns="91425">
                          <a:spAutoFit/>
                        </wps:bodyPr>
                      </wps:wsp>
                    </wpg:wgp>
                  </a:graphicData>
                </a:graphic>
              </wp:inline>
            </w:drawing>
          </mc:Choice>
          <mc:Fallback>
            <w:drawing>
              <wp:inline distB="114300" distT="114300" distL="114300" distR="114300">
                <wp:extent cx="6492240" cy="547280"/>
                <wp:effectExtent b="0" l="0" r="0" t="0"/>
                <wp:docPr id="1" name="image2.png"/>
                <a:graphic>
                  <a:graphicData uri="http://schemas.openxmlformats.org/drawingml/2006/picture">
                    <pic:pic>
                      <pic:nvPicPr>
                        <pic:cNvPr id="0" name="image2.png"/>
                        <pic:cNvPicPr preferRelativeResize="0"/>
                      </pic:nvPicPr>
                      <pic:blipFill>
                        <a:blip r:embed="rId6"/>
                        <a:srcRect/>
                        <a:stretch>
                          <a:fillRect/>
                        </a:stretch>
                      </pic:blipFill>
                      <pic:spPr>
                        <a:xfrm>
                          <a:off x="0" y="0"/>
                          <a:ext cx="6492240" cy="54728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02">
      <w:pPr>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3">
      <w:pPr>
        <w:spacing w:line="276" w:lineRule="auto"/>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Explore Stimulus</w:t>
      </w:r>
    </w:p>
    <w:p w:rsidR="00000000" w:rsidDel="00000000" w:rsidP="00000000" w:rsidRDefault="00000000" w:rsidRPr="00000000" w14:paraId="00000004">
      <w:pPr>
        <w:spacing w:line="276" w:lineRule="auto"/>
        <w:rPr>
          <w:rFonts w:ascii="Arial" w:cs="Arial" w:eastAsia="Arial" w:hAnsi="Arial"/>
          <w:b w:val="1"/>
          <w:color w:val="000000"/>
          <w:sz w:val="22"/>
          <w:szCs w:val="22"/>
        </w:rPr>
      </w:pPr>
      <w:r w:rsidDel="00000000" w:rsidR="00000000" w:rsidRPr="00000000">
        <w:rPr>
          <w:rtl w:val="0"/>
        </w:rPr>
      </w:r>
    </w:p>
    <w:tbl>
      <w:tblPr>
        <w:tblStyle w:val="Table1"/>
        <w:tblW w:w="10224.0" w:type="dxa"/>
        <w:jc w:val="center"/>
        <w:tblBorders>
          <w:top w:color="9cc3e5" w:space="0" w:sz="4" w:val="single"/>
          <w:left w:color="9cc3e5" w:space="0" w:sz="4" w:val="single"/>
          <w:bottom w:color="9cc3e5" w:space="0" w:sz="4" w:val="single"/>
          <w:right w:color="9cc3e5" w:space="0" w:sz="4" w:val="single"/>
          <w:insideH w:color="9cc3e5" w:space="0" w:sz="4" w:val="single"/>
          <w:insideV w:color="9cc3e5" w:space="0" w:sz="4" w:val="single"/>
        </w:tblBorders>
        <w:tblLayout w:type="fixed"/>
        <w:tblLook w:val="04A0"/>
      </w:tblPr>
      <w:tblGrid>
        <w:gridCol w:w="5112"/>
        <w:gridCol w:w="5112"/>
        <w:tblGridChange w:id="0">
          <w:tblGrid>
            <w:gridCol w:w="5112"/>
            <w:gridCol w:w="5112"/>
          </w:tblGrid>
        </w:tblGridChange>
      </w:tblGrid>
      <w:tr>
        <w:trPr>
          <w:cantSplit w:val="0"/>
          <w:tblHeader w:val="0"/>
        </w:trPr>
        <w:tc>
          <w:tcPr>
            <w:tcBorders>
              <w:top w:color="ed224c" w:space="0" w:sz="12" w:val="single"/>
              <w:left w:color="ed224c" w:space="0" w:sz="12" w:val="single"/>
              <w:bottom w:color="ed224c" w:space="0" w:sz="12" w:val="single"/>
              <w:right w:color="ed224c" w:space="0" w:sz="12" w:val="single"/>
            </w:tcBorders>
            <w:shd w:fill="fbe2e6" w:val="clear"/>
            <w:tcMar>
              <w:top w:w="144.0" w:type="dxa"/>
              <w:left w:w="144.0" w:type="dxa"/>
              <w:bottom w:w="144.0" w:type="dxa"/>
              <w:right w:w="144.0" w:type="dxa"/>
            </w:tcMar>
          </w:tcPr>
          <w:p w:rsidR="00000000" w:rsidDel="00000000" w:rsidP="00000000" w:rsidRDefault="00000000" w:rsidRPr="00000000" w14:paraId="00000005">
            <w:pPr>
              <w:spacing w:line="276" w:lineRule="auto"/>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Session Objectives</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By the end of the session students should: </w:t>
            </w:r>
          </w:p>
        </w:tc>
        <w:tc>
          <w:tcPr>
            <w:tcBorders>
              <w:top w:color="ed224c" w:space="0" w:sz="12" w:val="single"/>
              <w:left w:color="ed224c" w:space="0" w:sz="12" w:val="single"/>
              <w:bottom w:color="ed224c" w:space="0" w:sz="12" w:val="single"/>
              <w:right w:color="ed224c" w:space="0" w:sz="12" w:val="single"/>
            </w:tcBorders>
            <w:shd w:fill="fbe2e6" w:val="clear"/>
            <w:tcMar>
              <w:top w:w="144.0" w:type="dxa"/>
              <w:left w:w="144.0" w:type="dxa"/>
              <w:bottom w:w="144.0" w:type="dxa"/>
              <w:right w:w="144.0" w:type="dxa"/>
            </w:tcMar>
          </w:tcPr>
          <w:p w:rsidR="00000000" w:rsidDel="00000000" w:rsidP="00000000" w:rsidRDefault="00000000" w:rsidRPr="00000000" w14:paraId="00000007">
            <w:pPr>
              <w:spacing w:line="276" w:lineRule="auto"/>
              <w:jc w:val="center"/>
              <w:rPr>
                <w:rFonts w:ascii="Arial" w:cs="Arial" w:eastAsia="Arial" w:hAnsi="Arial"/>
                <w:sz w:val="22"/>
                <w:szCs w:val="22"/>
              </w:rPr>
            </w:pPr>
            <w:r w:rsidDel="00000000" w:rsidR="00000000" w:rsidRPr="00000000">
              <w:rPr>
                <w:rFonts w:ascii="Arial" w:cs="Arial" w:eastAsia="Arial" w:hAnsi="Arial"/>
                <w:color w:val="000000"/>
                <w:sz w:val="22"/>
                <w:szCs w:val="22"/>
                <w:rtl w:val="0"/>
              </w:rPr>
              <w:t xml:space="preserve">Evidence of Session Success</w:t>
            </w:r>
            <w:r w:rsidDel="00000000" w:rsidR="00000000" w:rsidRPr="00000000">
              <w:rPr>
                <w:rtl w:val="0"/>
              </w:rPr>
            </w:r>
          </w:p>
          <w:p w:rsidR="00000000" w:rsidDel="00000000" w:rsidP="00000000" w:rsidRDefault="00000000" w:rsidRPr="00000000" w14:paraId="00000008">
            <w:pPr>
              <w:spacing w:line="276" w:lineRule="auto"/>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Facilitators and observers should see: </w:t>
            </w:r>
          </w:p>
        </w:tc>
      </w:tr>
      <w:tr>
        <w:trPr>
          <w:cantSplit w:val="0"/>
          <w:trHeight w:val="308" w:hRule="atLeast"/>
          <w:tblHeader w:val="0"/>
        </w:trPr>
        <w:tc>
          <w:tcPr>
            <w:vMerge w:val="restart"/>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09">
            <w:pPr>
              <w:numPr>
                <w:ilvl w:val="0"/>
                <w:numId w:val="3"/>
              </w:numPr>
              <w:spacing w:line="276" w:lineRule="auto"/>
              <w:ind w:left="720" w:hanging="360"/>
              <w:rPr>
                <w:sz w:val="22"/>
                <w:szCs w:val="22"/>
              </w:rPr>
            </w:pPr>
            <w:r w:rsidDel="00000000" w:rsidR="00000000" w:rsidRPr="00000000">
              <w:rPr>
                <w:rFonts w:ascii="Arial" w:cs="Arial" w:eastAsia="Arial" w:hAnsi="Arial"/>
                <w:sz w:val="22"/>
                <w:szCs w:val="22"/>
                <w:rtl w:val="0"/>
              </w:rPr>
              <w:t xml:space="preserve">Describe</w:t>
            </w:r>
            <w:r w:rsidDel="00000000" w:rsidR="00000000" w:rsidRPr="00000000">
              <w:rPr>
                <w:rFonts w:ascii="Arial" w:cs="Arial" w:eastAsia="Arial" w:hAnsi="Arial"/>
                <w:b w:val="0"/>
                <w:sz w:val="22"/>
                <w:szCs w:val="22"/>
                <w:rtl w:val="0"/>
              </w:rPr>
              <w:t xml:space="preserve"> the effects of a computing innovation.</w:t>
            </w:r>
            <w:r w:rsidDel="00000000" w:rsidR="00000000" w:rsidRPr="00000000">
              <w:rPr>
                <w:rtl w:val="0"/>
              </w:rPr>
            </w:r>
          </w:p>
          <w:p w:rsidR="00000000" w:rsidDel="00000000" w:rsidP="00000000" w:rsidRDefault="00000000" w:rsidRPr="00000000" w14:paraId="0000000A">
            <w:pPr>
              <w:numPr>
                <w:ilvl w:val="0"/>
                <w:numId w:val="3"/>
              </w:numPr>
              <w:spacing w:line="276" w:lineRule="auto"/>
              <w:ind w:left="720" w:hanging="360"/>
              <w:rPr>
                <w:sz w:val="22"/>
                <w:szCs w:val="22"/>
              </w:rPr>
            </w:pPr>
            <w:r w:rsidDel="00000000" w:rsidR="00000000" w:rsidRPr="00000000">
              <w:rPr>
                <w:rFonts w:ascii="Arial" w:cs="Arial" w:eastAsia="Arial" w:hAnsi="Arial"/>
                <w:sz w:val="22"/>
                <w:szCs w:val="22"/>
                <w:rtl w:val="0"/>
              </w:rPr>
              <w:t xml:space="preserve">Describe</w:t>
            </w:r>
            <w:r w:rsidDel="00000000" w:rsidR="00000000" w:rsidRPr="00000000">
              <w:rPr>
                <w:rFonts w:ascii="Arial" w:cs="Arial" w:eastAsia="Arial" w:hAnsi="Arial"/>
                <w:b w:val="0"/>
                <w:sz w:val="22"/>
                <w:szCs w:val="22"/>
                <w:rtl w:val="0"/>
              </w:rPr>
              <w:t xml:space="preserve"> the purpose of a computing innovation.</w:t>
            </w:r>
          </w:p>
          <w:p w:rsidR="00000000" w:rsidDel="00000000" w:rsidP="00000000" w:rsidRDefault="00000000" w:rsidRPr="00000000" w14:paraId="0000000B">
            <w:pPr>
              <w:numPr>
                <w:ilvl w:val="0"/>
                <w:numId w:val="3"/>
              </w:numPr>
              <w:spacing w:line="276" w:lineRule="auto"/>
              <w:ind w:left="720" w:hanging="360"/>
              <w:rPr>
                <w:b w:val="0"/>
                <w:sz w:val="22"/>
                <w:szCs w:val="22"/>
              </w:rPr>
            </w:pPr>
            <w:r w:rsidDel="00000000" w:rsidR="00000000" w:rsidRPr="00000000">
              <w:rPr>
                <w:rFonts w:ascii="Arial" w:cs="Arial" w:eastAsia="Arial" w:hAnsi="Arial"/>
                <w:sz w:val="22"/>
                <w:szCs w:val="22"/>
                <w:rtl w:val="0"/>
              </w:rPr>
              <w:t xml:space="preserve">Describe </w:t>
            </w:r>
            <w:r w:rsidDel="00000000" w:rsidR="00000000" w:rsidRPr="00000000">
              <w:rPr>
                <w:rFonts w:ascii="Arial" w:cs="Arial" w:eastAsia="Arial" w:hAnsi="Arial"/>
                <w:b w:val="0"/>
                <w:sz w:val="22"/>
                <w:szCs w:val="22"/>
                <w:rtl w:val="0"/>
              </w:rPr>
              <w:t xml:space="preserve">how the data is processed in a computing innovation.</w:t>
            </w:r>
          </w:p>
          <w:p w:rsidR="00000000" w:rsidDel="00000000" w:rsidP="00000000" w:rsidRDefault="00000000" w:rsidRPr="00000000" w14:paraId="0000000C">
            <w:pPr>
              <w:spacing w:line="276" w:lineRule="auto"/>
              <w:ind w:left="720" w:firstLine="0"/>
              <w:rPr>
                <w:rFonts w:ascii="Arial" w:cs="Arial" w:eastAsia="Arial" w:hAnsi="Arial"/>
                <w:sz w:val="22"/>
                <w:szCs w:val="22"/>
              </w:rPr>
            </w:pPr>
            <w:r w:rsidDel="00000000" w:rsidR="00000000" w:rsidRPr="00000000">
              <w:rPr>
                <w:rtl w:val="0"/>
              </w:rPr>
            </w:r>
          </w:p>
        </w:tc>
        <w:tc>
          <w:tcPr>
            <w:vMerge w:val="restart"/>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0D">
            <w:pPr>
              <w:numPr>
                <w:ilvl w:val="0"/>
                <w:numId w:val="3"/>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color w:val="000000"/>
                <w:sz w:val="22"/>
                <w:szCs w:val="22"/>
              </w:rPr>
            </w:pPr>
            <w:r w:rsidDel="00000000" w:rsidR="00000000" w:rsidRPr="00000000">
              <w:rPr>
                <w:rFonts w:ascii="Arial" w:cs="Arial" w:eastAsia="Arial" w:hAnsi="Arial"/>
                <w:sz w:val="22"/>
                <w:szCs w:val="22"/>
                <w:rtl w:val="0"/>
              </w:rPr>
              <w:t xml:space="preserve">Students accurately identify computing innovations.</w:t>
            </w:r>
            <w:r w:rsidDel="00000000" w:rsidR="00000000" w:rsidRPr="00000000">
              <w:rPr>
                <w:rtl w:val="0"/>
              </w:rPr>
            </w:r>
          </w:p>
          <w:p w:rsidR="00000000" w:rsidDel="00000000" w:rsidP="00000000" w:rsidRDefault="00000000" w:rsidRPr="00000000" w14:paraId="0000000E">
            <w:pPr>
              <w:numPr>
                <w:ilvl w:val="0"/>
                <w:numId w:val="3"/>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Students are able to discuss the harmful and beneficial effects of a computing innovation.</w:t>
            </w:r>
          </w:p>
          <w:p w:rsidR="00000000" w:rsidDel="00000000" w:rsidP="00000000" w:rsidRDefault="00000000" w:rsidRPr="00000000" w14:paraId="0000000F">
            <w:pPr>
              <w:numPr>
                <w:ilvl w:val="0"/>
                <w:numId w:val="1"/>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Students are able to identify and engage in discussion about privacy, security and storage concerns.</w:t>
            </w:r>
          </w:p>
        </w:tc>
      </w:tr>
      <w:tr>
        <w:trPr>
          <w:cantSplit w:val="0"/>
          <w:trHeight w:val="308" w:hRule="atLeast"/>
          <w:tblHeader w:val="0"/>
        </w:trPr>
        <w:tc>
          <w:tcPr>
            <w:vMerge w:val="continue"/>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Merge w:val="continue"/>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308" w:hRule="atLeast"/>
          <w:tblHeader w:val="0"/>
        </w:trPr>
        <w:tc>
          <w:tcPr>
            <w:vMerge w:val="continue"/>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Merge w:val="continue"/>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014">
      <w:pPr>
        <w:spacing w:line="276" w:lineRule="auto"/>
        <w:rPr>
          <w:rFonts w:ascii="Arial" w:cs="Arial" w:eastAsia="Arial" w:hAnsi="Arial"/>
          <w:color w:val="000000"/>
          <w:sz w:val="22"/>
          <w:szCs w:val="22"/>
        </w:rPr>
      </w:pPr>
      <w:r w:rsidDel="00000000" w:rsidR="00000000" w:rsidRPr="00000000">
        <w:rPr>
          <w:rtl w:val="0"/>
        </w:rPr>
      </w:r>
    </w:p>
    <w:tbl>
      <w:tblPr>
        <w:tblStyle w:val="Table2"/>
        <w:tblW w:w="10224.0" w:type="dxa"/>
        <w:jc w:val="center"/>
        <w:tblBorders>
          <w:top w:color="9cc3e5" w:space="0" w:sz="4" w:val="single"/>
          <w:left w:color="9cc3e5" w:space="0" w:sz="4" w:val="single"/>
          <w:bottom w:color="9cc3e5" w:space="0" w:sz="4" w:val="single"/>
          <w:right w:color="9cc3e5" w:space="0" w:sz="4" w:val="single"/>
          <w:insideH w:color="9cc3e5" w:space="0" w:sz="4" w:val="single"/>
          <w:insideV w:color="9cc3e5" w:space="0" w:sz="4" w:val="single"/>
        </w:tblBorders>
        <w:tblLayout w:type="fixed"/>
        <w:tblLook w:val="04A0"/>
      </w:tblPr>
      <w:tblGrid>
        <w:gridCol w:w="10224"/>
        <w:tblGridChange w:id="0">
          <w:tblGrid>
            <w:gridCol w:w="10224"/>
          </w:tblGrid>
        </w:tblGridChange>
      </w:tblGrid>
      <w:tr>
        <w:trPr>
          <w:cantSplit w:val="0"/>
          <w:tblHeader w:val="0"/>
        </w:trPr>
        <w:tc>
          <w:tcPr>
            <w:tcBorders>
              <w:top w:color="ed224c" w:space="0" w:sz="12" w:val="single"/>
              <w:left w:color="ed224c" w:space="0" w:sz="12" w:val="single"/>
              <w:bottom w:color="ed224c" w:space="0" w:sz="12" w:val="single"/>
              <w:right w:color="ed224c" w:space="0" w:sz="12" w:val="single"/>
            </w:tcBorders>
            <w:shd w:fill="fbe2e6" w:val="clear"/>
            <w:tcMar>
              <w:top w:w="144.0" w:type="dxa"/>
              <w:left w:w="144.0" w:type="dxa"/>
              <w:bottom w:w="144.0" w:type="dxa"/>
              <w:right w:w="144.0" w:type="dxa"/>
            </w:tcMar>
          </w:tcPr>
          <w:p w:rsidR="00000000" w:rsidDel="00000000" w:rsidP="00000000" w:rsidRDefault="00000000" w:rsidRPr="00000000" w14:paraId="00000015">
            <w:pPr>
              <w:spacing w:line="276" w:lineRule="auto"/>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Session Materials</w:t>
            </w:r>
          </w:p>
        </w:tc>
      </w:tr>
      <w:tr>
        <w:trPr>
          <w:cantSplit w:val="0"/>
          <w:tblHeader w:val="0"/>
        </w:trPr>
        <w:tc>
          <w:tcPr>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16">
            <w:pPr>
              <w:spacing w:line="276"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Students will need:</w:t>
            </w:r>
          </w:p>
          <w:p w:rsidR="00000000" w:rsidDel="00000000" w:rsidP="00000000" w:rsidRDefault="00000000" w:rsidRPr="00000000" w14:paraId="00000017">
            <w:pPr>
              <w:numPr>
                <w:ilvl w:val="1"/>
                <w:numId w:val="6"/>
              </w:numPr>
              <w:spacing w:line="276" w:lineRule="auto"/>
              <w:ind w:left="720" w:hanging="360"/>
              <w:rPr>
                <w:rFonts w:ascii="Arial" w:cs="Arial" w:eastAsia="Arial" w:hAnsi="Arial"/>
                <w:sz w:val="22"/>
                <w:szCs w:val="22"/>
              </w:rPr>
            </w:pPr>
            <w:r w:rsidDel="00000000" w:rsidR="00000000" w:rsidRPr="00000000">
              <w:rPr>
                <w:rFonts w:ascii="Arial" w:cs="Arial" w:eastAsia="Arial" w:hAnsi="Arial"/>
                <w:b w:val="0"/>
                <w:sz w:val="22"/>
                <w:szCs w:val="22"/>
                <w:rtl w:val="0"/>
              </w:rPr>
              <w:t xml:space="preserve">Instructions for ensuring access/readiness during session</w:t>
            </w:r>
            <w:r w:rsidDel="00000000" w:rsidR="00000000" w:rsidRPr="00000000">
              <w:rPr>
                <w:rtl w:val="0"/>
              </w:rPr>
            </w:r>
          </w:p>
          <w:p w:rsidR="00000000" w:rsidDel="00000000" w:rsidP="00000000" w:rsidRDefault="00000000" w:rsidRPr="00000000" w14:paraId="00000018">
            <w:pPr>
              <w:numPr>
                <w:ilvl w:val="1"/>
                <w:numId w:val="6"/>
              </w:numPr>
              <w:spacing w:line="276" w:lineRule="auto"/>
              <w:ind w:left="720" w:hanging="360"/>
              <w:rPr>
                <w:rFonts w:ascii="Arial" w:cs="Arial" w:eastAsia="Arial" w:hAnsi="Arial"/>
                <w:b w:val="0"/>
                <w:sz w:val="22"/>
                <w:szCs w:val="22"/>
              </w:rPr>
            </w:pPr>
            <w:r w:rsidDel="00000000" w:rsidR="00000000" w:rsidRPr="00000000">
              <w:rPr>
                <w:rFonts w:ascii="Arial" w:cs="Arial" w:eastAsia="Arial" w:hAnsi="Arial"/>
                <w:b w:val="0"/>
                <w:sz w:val="22"/>
                <w:szCs w:val="22"/>
                <w:rtl w:val="0"/>
              </w:rPr>
              <w:t xml:space="preserve">Participant guide</w:t>
            </w:r>
            <w:r w:rsidDel="00000000" w:rsidR="00000000" w:rsidRPr="00000000">
              <w:rPr>
                <w:rtl w:val="0"/>
              </w:rPr>
            </w:r>
          </w:p>
          <w:p w:rsidR="00000000" w:rsidDel="00000000" w:rsidP="00000000" w:rsidRDefault="00000000" w:rsidRPr="00000000" w14:paraId="00000019">
            <w:pPr>
              <w:spacing w:line="276" w:lineRule="auto"/>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1A">
            <w:pPr>
              <w:spacing w:line="276" w:lineRule="auto"/>
              <w:rPr>
                <w:rFonts w:ascii="Arial" w:cs="Arial" w:eastAsia="Arial" w:hAnsi="Arial"/>
                <w:sz w:val="22"/>
                <w:szCs w:val="22"/>
              </w:rPr>
            </w:pPr>
            <w:r w:rsidDel="00000000" w:rsidR="00000000" w:rsidRPr="00000000">
              <w:rPr>
                <w:rFonts w:ascii="Arial" w:cs="Arial" w:eastAsia="Arial" w:hAnsi="Arial"/>
                <w:color w:val="000000"/>
                <w:sz w:val="22"/>
                <w:szCs w:val="22"/>
                <w:rtl w:val="0"/>
              </w:rPr>
              <w:t xml:space="preserve">Additional presenter materials: </w:t>
            </w:r>
            <w:r w:rsidDel="00000000" w:rsidR="00000000" w:rsidRPr="00000000">
              <w:rPr>
                <w:rtl w:val="0"/>
              </w:rPr>
            </w:r>
          </w:p>
          <w:p w:rsidR="00000000" w:rsidDel="00000000" w:rsidP="00000000" w:rsidRDefault="00000000" w:rsidRPr="00000000" w14:paraId="0000001B">
            <w:pPr>
              <w:numPr>
                <w:ilvl w:val="0"/>
                <w:numId w:val="5"/>
              </w:numPr>
              <w:spacing w:line="276" w:lineRule="auto"/>
              <w:ind w:left="720" w:hanging="360"/>
              <w:rPr>
                <w:rFonts w:ascii="Arial" w:cs="Arial" w:eastAsia="Arial" w:hAnsi="Arial"/>
                <w:sz w:val="22"/>
                <w:szCs w:val="22"/>
              </w:rPr>
            </w:pPr>
            <w:hyperlink r:id="rId7">
              <w:r w:rsidDel="00000000" w:rsidR="00000000" w:rsidRPr="00000000">
                <w:rPr>
                  <w:rFonts w:ascii="Arial" w:cs="Arial" w:eastAsia="Arial" w:hAnsi="Arial"/>
                  <w:b w:val="0"/>
                  <w:color w:val="1155cc"/>
                  <w:sz w:val="22"/>
                  <w:szCs w:val="22"/>
                  <w:u w:val="single"/>
                  <w:rtl w:val="0"/>
                </w:rPr>
                <w:t xml:space="preserve">Hook Kahoot</w:t>
              </w:r>
            </w:hyperlink>
            <w:r w:rsidDel="00000000" w:rsidR="00000000" w:rsidRPr="00000000">
              <w:rPr>
                <w:rtl w:val="0"/>
              </w:rPr>
            </w:r>
          </w:p>
          <w:p w:rsidR="00000000" w:rsidDel="00000000" w:rsidP="00000000" w:rsidRDefault="00000000" w:rsidRPr="00000000" w14:paraId="0000001C">
            <w:pPr>
              <w:numPr>
                <w:ilvl w:val="0"/>
                <w:numId w:val="5"/>
              </w:numPr>
              <w:spacing w:line="276" w:lineRule="auto"/>
              <w:ind w:left="720" w:hanging="360"/>
              <w:rPr>
                <w:rFonts w:ascii="Arial" w:cs="Arial" w:eastAsia="Arial" w:hAnsi="Arial"/>
                <w:b w:val="0"/>
                <w:sz w:val="22"/>
                <w:szCs w:val="22"/>
              </w:rPr>
            </w:pPr>
            <w:r w:rsidDel="00000000" w:rsidR="00000000" w:rsidRPr="00000000">
              <w:rPr>
                <w:rFonts w:ascii="Arial" w:cs="Arial" w:eastAsia="Arial" w:hAnsi="Arial"/>
                <w:b w:val="0"/>
                <w:sz w:val="22"/>
                <w:szCs w:val="22"/>
                <w:rtl w:val="0"/>
              </w:rPr>
              <w:t xml:space="preserve">Participant guide key</w:t>
            </w:r>
          </w:p>
          <w:p w:rsidR="00000000" w:rsidDel="00000000" w:rsidP="00000000" w:rsidRDefault="00000000" w:rsidRPr="00000000" w14:paraId="0000001D">
            <w:pPr>
              <w:numPr>
                <w:ilvl w:val="0"/>
                <w:numId w:val="5"/>
              </w:numPr>
              <w:spacing w:line="276" w:lineRule="auto"/>
              <w:ind w:left="720" w:hanging="360"/>
              <w:rPr>
                <w:rFonts w:ascii="Arial" w:cs="Arial" w:eastAsia="Arial" w:hAnsi="Arial"/>
                <w:b w:val="0"/>
                <w:sz w:val="22"/>
                <w:szCs w:val="22"/>
              </w:rPr>
            </w:pPr>
            <w:hyperlink r:id="rId8">
              <w:r w:rsidDel="00000000" w:rsidR="00000000" w:rsidRPr="00000000">
                <w:rPr>
                  <w:rFonts w:ascii="Arial" w:cs="Arial" w:eastAsia="Arial" w:hAnsi="Arial"/>
                  <w:b w:val="0"/>
                  <w:color w:val="1155cc"/>
                  <w:sz w:val="22"/>
                  <w:szCs w:val="22"/>
                  <w:u w:val="single"/>
                  <w:rtl w:val="0"/>
                </w:rPr>
                <w:t xml:space="preserve">Article on The Guardian</w:t>
              </w:r>
            </w:hyperlink>
            <w:r w:rsidDel="00000000" w:rsidR="00000000" w:rsidRPr="00000000">
              <w:rPr>
                <w:rFonts w:ascii="Arial" w:cs="Arial" w:eastAsia="Arial" w:hAnsi="Arial"/>
                <w:b w:val="0"/>
                <w:sz w:val="22"/>
                <w:szCs w:val="22"/>
                <w:rtl w:val="0"/>
              </w:rPr>
              <w:t xml:space="preserve"> about an AI startup erasing call center accents(basis for second reading passage)</w:t>
            </w:r>
          </w:p>
        </w:tc>
      </w:tr>
    </w:tbl>
    <w:p w:rsidR="00000000" w:rsidDel="00000000" w:rsidP="00000000" w:rsidRDefault="00000000" w:rsidRPr="00000000" w14:paraId="0000001E">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F">
      <w:pPr>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20">
      <w:pPr>
        <w:spacing w:line="276" w:lineRule="auto"/>
        <w:rPr>
          <w:rFonts w:ascii="Arial" w:cs="Arial" w:eastAsia="Arial" w:hAnsi="Arial"/>
          <w:b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21">
      <w:pPr>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Preparing for the session</w:t>
      </w:r>
    </w:p>
    <w:p w:rsidR="00000000" w:rsidDel="00000000" w:rsidP="00000000" w:rsidRDefault="00000000" w:rsidRPr="00000000" w14:paraId="00000022">
      <w:pPr>
        <w:spacing w:line="276" w:lineRule="auto"/>
        <w:ind w:left="0" w:firstLine="0"/>
        <w:rPr>
          <w:rFonts w:ascii="Arial" w:cs="Arial" w:eastAsia="Arial" w:hAnsi="Arial"/>
          <w:sz w:val="22"/>
          <w:szCs w:val="22"/>
        </w:rPr>
      </w:pPr>
      <w:r w:rsidDel="00000000" w:rsidR="00000000" w:rsidRPr="00000000">
        <w:rPr>
          <w:rFonts w:ascii="Arial" w:cs="Arial" w:eastAsia="Arial" w:hAnsi="Arial"/>
          <w:sz w:val="22"/>
          <w:szCs w:val="22"/>
          <w:rtl w:val="0"/>
        </w:rPr>
        <w:t xml:space="preserve">If you choose to utilize Pear Deck, be sure to have the </w:t>
      </w:r>
      <w:hyperlink r:id="rId9">
        <w:r w:rsidDel="00000000" w:rsidR="00000000" w:rsidRPr="00000000">
          <w:rPr>
            <w:rFonts w:ascii="Arial" w:cs="Arial" w:eastAsia="Arial" w:hAnsi="Arial"/>
            <w:color w:val="1155cc"/>
            <w:sz w:val="22"/>
            <w:szCs w:val="22"/>
            <w:u w:val="single"/>
            <w:rtl w:val="0"/>
          </w:rPr>
          <w:t xml:space="preserve">Add-On for Pear Desk</w:t>
        </w:r>
      </w:hyperlink>
      <w:r w:rsidDel="00000000" w:rsidR="00000000" w:rsidRPr="00000000">
        <w:rPr>
          <w:rFonts w:ascii="Arial" w:cs="Arial" w:eastAsia="Arial" w:hAnsi="Arial"/>
          <w:sz w:val="22"/>
          <w:szCs w:val="22"/>
          <w:rtl w:val="0"/>
        </w:rPr>
        <w:t xml:space="preserve"> installed in order to present with Pear Deck. In order for Google Slide Animations to work while presenting from Pear Deck, you will need to install the extension </w:t>
      </w:r>
      <w:hyperlink r:id="rId10">
        <w:r w:rsidDel="00000000" w:rsidR="00000000" w:rsidRPr="00000000">
          <w:rPr>
            <w:rFonts w:ascii="Arial" w:cs="Arial" w:eastAsia="Arial" w:hAnsi="Arial"/>
            <w:color w:val="1155cc"/>
            <w:sz w:val="22"/>
            <w:szCs w:val="22"/>
            <w:u w:val="single"/>
            <w:rtl w:val="0"/>
          </w:rPr>
          <w:t xml:space="preserve">Pear Deck Power-Up</w:t>
        </w:r>
      </w:hyperlink>
      <w:r w:rsidDel="00000000" w:rsidR="00000000" w:rsidRPr="00000000">
        <w:rPr>
          <w:rFonts w:ascii="Arial" w:cs="Arial" w:eastAsia="Arial" w:hAnsi="Arial"/>
          <w:sz w:val="22"/>
          <w:szCs w:val="22"/>
          <w:rtl w:val="0"/>
        </w:rPr>
        <w:t xml:space="preserve">. For help with presenting with Pear Deck, go to </w:t>
      </w:r>
      <w:hyperlink r:id="rId11">
        <w:r w:rsidDel="00000000" w:rsidR="00000000" w:rsidRPr="00000000">
          <w:rPr>
            <w:rFonts w:ascii="Arial" w:cs="Arial" w:eastAsia="Arial" w:hAnsi="Arial"/>
            <w:color w:val="1155cc"/>
            <w:sz w:val="22"/>
            <w:szCs w:val="22"/>
            <w:u w:val="single"/>
            <w:rtl w:val="0"/>
          </w:rPr>
          <w:t xml:space="preserve">How To Present a Pear Deck</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23">
      <w:pPr>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24">
      <w:pPr>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Hook Activity/Pre-Assessment </w:t>
      </w:r>
      <w:r w:rsidDel="00000000" w:rsidR="00000000" w:rsidRPr="00000000">
        <w:rPr>
          <w:rFonts w:ascii="Arial" w:cs="Arial" w:eastAsia="Arial" w:hAnsi="Arial"/>
          <w:sz w:val="22"/>
          <w:szCs w:val="22"/>
          <w:rtl w:val="0"/>
        </w:rPr>
        <w:t xml:space="preserve">(5-10 minutes)</w:t>
      </w:r>
    </w:p>
    <w:p w:rsidR="00000000" w:rsidDel="00000000" w:rsidP="00000000" w:rsidRDefault="00000000" w:rsidRPr="00000000" w14:paraId="00000025">
      <w:pPr>
        <w:numPr>
          <w:ilvl w:val="0"/>
          <w:numId w:val="4"/>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b w:val="1"/>
          <w:color w:val="000000"/>
          <w:sz w:val="22"/>
          <w:szCs w:val="22"/>
        </w:rPr>
      </w:pPr>
      <w:r w:rsidDel="00000000" w:rsidR="00000000" w:rsidRPr="00000000">
        <w:rPr>
          <w:rFonts w:ascii="Arial" w:cs="Arial" w:eastAsia="Arial" w:hAnsi="Arial"/>
          <w:sz w:val="22"/>
          <w:szCs w:val="22"/>
          <w:rtl w:val="0"/>
        </w:rPr>
        <w:t xml:space="preserve">Engage students in a game of </w:t>
      </w:r>
      <w:hyperlink r:id="rId12">
        <w:r w:rsidDel="00000000" w:rsidR="00000000" w:rsidRPr="00000000">
          <w:rPr>
            <w:rFonts w:ascii="Arial" w:cs="Arial" w:eastAsia="Arial" w:hAnsi="Arial"/>
            <w:color w:val="1155cc"/>
            <w:sz w:val="22"/>
            <w:szCs w:val="22"/>
            <w:u w:val="single"/>
            <w:rtl w:val="0"/>
          </w:rPr>
          <w:t xml:space="preserve">Hook Kahoot</w:t>
        </w:r>
      </w:hyperlink>
      <w:r w:rsidDel="00000000" w:rsidR="00000000" w:rsidRPr="00000000">
        <w:rPr>
          <w:rFonts w:ascii="Arial" w:cs="Arial" w:eastAsia="Arial" w:hAnsi="Arial"/>
          <w:sz w:val="22"/>
          <w:szCs w:val="22"/>
          <w:rtl w:val="0"/>
        </w:rPr>
        <w:t xml:space="preserve">, a review of computing innovations.</w:t>
      </w:r>
      <w:r w:rsidDel="00000000" w:rsidR="00000000" w:rsidRPr="00000000">
        <w:rPr>
          <w:rtl w:val="0"/>
        </w:rPr>
      </w:r>
    </w:p>
    <w:p w:rsidR="00000000" w:rsidDel="00000000" w:rsidP="00000000" w:rsidRDefault="00000000" w:rsidRPr="00000000" w14:paraId="00000026">
      <w:pPr>
        <w:numPr>
          <w:ilvl w:val="0"/>
          <w:numId w:val="4"/>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Students are provided the questions in their Participant Guide so that they have them as a study resource. Encourage students to follow along, making sure to write down the correct answer.</w:t>
      </w:r>
    </w:p>
    <w:p w:rsidR="00000000" w:rsidDel="00000000" w:rsidP="00000000" w:rsidRDefault="00000000" w:rsidRPr="00000000" w14:paraId="00000027">
      <w:pPr>
        <w:numPr>
          <w:ilvl w:val="0"/>
          <w:numId w:val="4"/>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Briefly review the answers after the Kahoot game is complete to make sure they have the correct answer written down.</w:t>
      </w:r>
    </w:p>
    <w:p w:rsidR="00000000" w:rsidDel="00000000" w:rsidP="00000000" w:rsidRDefault="00000000" w:rsidRPr="00000000" w14:paraId="00000028">
      <w:pPr>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29">
      <w:pPr>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Mini Lessons </w:t>
      </w:r>
      <w:r w:rsidDel="00000000" w:rsidR="00000000" w:rsidRPr="00000000">
        <w:rPr>
          <w:rFonts w:ascii="Arial" w:cs="Arial" w:eastAsia="Arial" w:hAnsi="Arial"/>
          <w:sz w:val="22"/>
          <w:szCs w:val="22"/>
          <w:rtl w:val="0"/>
        </w:rPr>
        <w:t xml:space="preserve">(20 minutes)</w:t>
      </w:r>
      <w:r w:rsidDel="00000000" w:rsidR="00000000" w:rsidRPr="00000000">
        <w:rPr>
          <w:rtl w:val="0"/>
        </w:rPr>
      </w:r>
    </w:p>
    <w:p w:rsidR="00000000" w:rsidDel="00000000" w:rsidP="00000000" w:rsidRDefault="00000000" w:rsidRPr="00000000" w14:paraId="0000002A">
      <w:pPr>
        <w:numPr>
          <w:ilvl w:val="1"/>
          <w:numId w:val="4"/>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Lesson 1: Remind students what a computing innovation is. </w:t>
      </w:r>
    </w:p>
    <w:p w:rsidR="00000000" w:rsidDel="00000000" w:rsidP="00000000" w:rsidRDefault="00000000" w:rsidRPr="00000000" w14:paraId="0000002B">
      <w:pPr>
        <w:numPr>
          <w:ilvl w:val="1"/>
          <w:numId w:val="4"/>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Lesson 2: Students select a computing innovation and answer the 4 questions regarding the computing innovation. </w:t>
      </w:r>
    </w:p>
    <w:p w:rsidR="00000000" w:rsidDel="00000000" w:rsidP="00000000" w:rsidRDefault="00000000" w:rsidRPr="00000000" w14:paraId="0000002C">
      <w:pPr>
        <w:numPr>
          <w:ilvl w:val="0"/>
          <w:numId w:val="4"/>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Lesson 3: Information on Single Select Questions with a Reading Passage. </w:t>
      </w:r>
    </w:p>
    <w:p w:rsidR="00000000" w:rsidDel="00000000" w:rsidP="00000000" w:rsidRDefault="00000000" w:rsidRPr="00000000" w14:paraId="0000002D">
      <w:pPr>
        <w:numPr>
          <w:ilvl w:val="0"/>
          <w:numId w:val="4"/>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Lesson 1 and Lesson 3 can be a quick read for the students. Spend most of the 20 minutes on Lesson 2. Read the Key for a sample answer using a FitBit as an example.</w:t>
      </w:r>
    </w:p>
    <w:p w:rsidR="00000000" w:rsidDel="00000000" w:rsidP="00000000" w:rsidRDefault="00000000" w:rsidRPr="00000000" w14:paraId="0000002E">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F">
      <w:pPr>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Guided Problem-Solving Activities </w:t>
      </w:r>
      <w:r w:rsidDel="00000000" w:rsidR="00000000" w:rsidRPr="00000000">
        <w:rPr>
          <w:rFonts w:ascii="Arial" w:cs="Arial" w:eastAsia="Arial" w:hAnsi="Arial"/>
          <w:sz w:val="22"/>
          <w:szCs w:val="22"/>
          <w:rtl w:val="0"/>
        </w:rPr>
        <w:t xml:space="preserve">(30 minutes)</w:t>
      </w:r>
    </w:p>
    <w:p w:rsidR="00000000" w:rsidDel="00000000" w:rsidP="00000000" w:rsidRDefault="00000000" w:rsidRPr="00000000" w14:paraId="00000030">
      <w:pPr>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Point out these tips and tricks in the Participant Guide: </w:t>
      </w:r>
    </w:p>
    <w:p w:rsidR="00000000" w:rsidDel="00000000" w:rsidP="00000000" w:rsidRDefault="00000000" w:rsidRPr="00000000" w14:paraId="00000031">
      <w:pPr>
        <w:numPr>
          <w:ilvl w:val="0"/>
          <w:numId w:val="2"/>
        </w:numPr>
        <w:spacing w:line="276"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There are two sets of reading passage questions. The first set of three questions mimics the flowchart format provided in the CED. The second set of five questions are based on an article in The Guardian. The name of the software is an alias. Read the article linked at the top of this facilitator guide for more information.</w:t>
      </w:r>
    </w:p>
    <w:p w:rsidR="00000000" w:rsidDel="00000000" w:rsidP="00000000" w:rsidRDefault="00000000" w:rsidRPr="00000000" w14:paraId="00000032">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3">
      <w:pPr>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Closing/Reflection </w:t>
      </w:r>
      <w:r w:rsidDel="00000000" w:rsidR="00000000" w:rsidRPr="00000000">
        <w:rPr>
          <w:rFonts w:ascii="Arial" w:cs="Arial" w:eastAsia="Arial" w:hAnsi="Arial"/>
          <w:sz w:val="22"/>
          <w:szCs w:val="22"/>
          <w:rtl w:val="0"/>
        </w:rPr>
        <w:t xml:space="preserve">(~5 minutes)</w:t>
      </w:r>
    </w:p>
    <w:p w:rsidR="00000000" w:rsidDel="00000000" w:rsidP="00000000" w:rsidRDefault="00000000" w:rsidRPr="00000000" w14:paraId="00000034">
      <w:pPr>
        <w:numPr>
          <w:ilvl w:val="0"/>
          <w:numId w:val="4"/>
        </w:numPr>
        <w:spacing w:line="276" w:lineRule="auto"/>
        <w:ind w:left="720" w:hanging="360"/>
        <w:rPr>
          <w:rFonts w:ascii="Arial" w:cs="Arial" w:eastAsia="Arial" w:hAnsi="Arial"/>
          <w:sz w:val="22"/>
          <w:szCs w:val="22"/>
        </w:rPr>
      </w:pPr>
      <w:bookmarkStart w:colFirst="0" w:colLast="0" w:name="_gjdgxs" w:id="0"/>
      <w:bookmarkEnd w:id="0"/>
      <w:r w:rsidDel="00000000" w:rsidR="00000000" w:rsidRPr="00000000">
        <w:rPr>
          <w:rFonts w:ascii="Arial" w:cs="Arial" w:eastAsia="Arial" w:hAnsi="Arial"/>
          <w:sz w:val="22"/>
          <w:szCs w:val="22"/>
          <w:rtl w:val="0"/>
        </w:rPr>
        <w:t xml:space="preserve">Encourage students to reflect on what they’ve learned in this session.</w:t>
      </w:r>
    </w:p>
    <w:p w:rsidR="00000000" w:rsidDel="00000000" w:rsidP="00000000" w:rsidRDefault="00000000" w:rsidRPr="00000000" w14:paraId="00000035">
      <w:pPr>
        <w:numPr>
          <w:ilvl w:val="0"/>
          <w:numId w:val="4"/>
        </w:numPr>
        <w:spacing w:line="276" w:lineRule="auto"/>
        <w:ind w:left="720" w:hanging="360"/>
        <w:rPr>
          <w:rFonts w:ascii="Arial" w:cs="Arial" w:eastAsia="Arial" w:hAnsi="Arial"/>
          <w:sz w:val="22"/>
          <w:szCs w:val="22"/>
        </w:rPr>
      </w:pPr>
      <w:bookmarkStart w:colFirst="0" w:colLast="0" w:name="_j3btdn95r45h" w:id="1"/>
      <w:bookmarkEnd w:id="1"/>
      <w:r w:rsidDel="00000000" w:rsidR="00000000" w:rsidRPr="00000000">
        <w:rPr>
          <w:rFonts w:ascii="Arial" w:cs="Arial" w:eastAsia="Arial" w:hAnsi="Arial"/>
          <w:sz w:val="22"/>
          <w:szCs w:val="22"/>
          <w:rtl w:val="0"/>
        </w:rPr>
        <w:t xml:space="preserve">Guide students through the brief reflection exercise at the end of the Participant Guide. Pre-determine how you want students to share their reflections.</w:t>
      </w:r>
    </w:p>
    <w:p w:rsidR="00000000" w:rsidDel="00000000" w:rsidP="00000000" w:rsidRDefault="00000000" w:rsidRPr="00000000" w14:paraId="00000036">
      <w:pPr>
        <w:numPr>
          <w:ilvl w:val="0"/>
          <w:numId w:val="4"/>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M</w:t>
      </w:r>
      <w:r w:rsidDel="00000000" w:rsidR="00000000" w:rsidRPr="00000000">
        <w:rPr>
          <w:rFonts w:ascii="Arial" w:cs="Arial" w:eastAsia="Arial" w:hAnsi="Arial"/>
          <w:color w:val="000000"/>
          <w:sz w:val="22"/>
          <w:szCs w:val="22"/>
          <w:rtl w:val="0"/>
        </w:rPr>
        <w:t xml:space="preserve">ake sure everyone is aware of the </w:t>
      </w:r>
      <w:r w:rsidDel="00000000" w:rsidR="00000000" w:rsidRPr="00000000">
        <w:rPr>
          <w:rFonts w:ascii="Arial" w:cs="Arial" w:eastAsia="Arial" w:hAnsi="Arial"/>
          <w:sz w:val="22"/>
          <w:szCs w:val="22"/>
          <w:rtl w:val="0"/>
        </w:rPr>
        <w:t xml:space="preserve">Online Student Support Module AP CSP: Explore Stimulus (asynchronous module)</w:t>
      </w:r>
      <w:r w:rsidDel="00000000" w:rsidR="00000000" w:rsidRPr="00000000">
        <w:rPr>
          <w:rFonts w:ascii="Arial" w:cs="Arial" w:eastAsia="Arial" w:hAnsi="Arial"/>
          <w:color w:val="000000"/>
          <w:sz w:val="22"/>
          <w:szCs w:val="22"/>
          <w:rtl w:val="0"/>
        </w:rPr>
        <w:t xml:space="preserve"> that goes along with this topic</w:t>
      </w: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color w:val="000000"/>
          <w:sz w:val="22"/>
          <w:szCs w:val="22"/>
          <w:rtl w:val="0"/>
        </w:rPr>
        <w:t xml:space="preserve">  They will find summaries, readings, videos, and practice problems there. You will need to provide information to students so that they may register to access this resource.</w:t>
      </w:r>
      <w:r w:rsidDel="00000000" w:rsidR="00000000" w:rsidRPr="00000000">
        <w:rPr>
          <w:rtl w:val="0"/>
        </w:rPr>
      </w:r>
    </w:p>
    <w:p w:rsidR="00000000" w:rsidDel="00000000" w:rsidP="00000000" w:rsidRDefault="00000000" w:rsidRPr="00000000" w14:paraId="00000037">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8">
      <w:pPr>
        <w:spacing w:line="276" w:lineRule="auto"/>
        <w:rPr>
          <w:rFonts w:ascii="Arial" w:cs="Arial" w:eastAsia="Arial" w:hAnsi="Arial"/>
          <w:b w:val="1"/>
          <w:color w:val="000000"/>
          <w:sz w:val="22"/>
          <w:szCs w:val="22"/>
        </w:rPr>
      </w:pPr>
      <w:r w:rsidDel="00000000" w:rsidR="00000000" w:rsidRPr="00000000">
        <w:rPr>
          <w:rtl w:val="0"/>
        </w:rPr>
      </w:r>
    </w:p>
    <w:p w:rsidR="00000000" w:rsidDel="00000000" w:rsidP="00000000" w:rsidRDefault="00000000" w:rsidRPr="00000000" w14:paraId="00000039">
      <w:pPr>
        <w:spacing w:line="276" w:lineRule="auto"/>
        <w:rPr>
          <w:rFonts w:ascii="Arial" w:cs="Arial" w:eastAsia="Arial" w:hAnsi="Arial"/>
          <w:sz w:val="22"/>
          <w:szCs w:val="22"/>
        </w:rPr>
      </w:pPr>
      <w:r w:rsidDel="00000000" w:rsidR="00000000" w:rsidRPr="00000000">
        <w:rPr>
          <w:rtl w:val="0"/>
        </w:rPr>
      </w:r>
    </w:p>
    <w:sectPr>
      <w:headerReference r:id="rId13" w:type="default"/>
      <w:footerReference r:id="rId14" w:type="default"/>
      <w:pgSz w:h="15840" w:w="12240" w:orient="portrait"/>
      <w:pgMar w:bottom="1008" w:top="1008" w:left="1008" w:right="1008" w:header="576" w:footer="57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Courier New"/>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C">
    <w:pPr>
      <w:spacing w:line="276" w:lineRule="auto"/>
      <w:jc w:val="center"/>
      <w:rPr>
        <w:rFonts w:ascii="Arial" w:cs="Arial" w:eastAsia="Arial" w:hAnsi="Arial"/>
        <w:sz w:val="13"/>
        <w:szCs w:val="13"/>
      </w:rPr>
    </w:pPr>
    <w:r w:rsidDel="00000000" w:rsidR="00000000" w:rsidRPr="00000000">
      <w:rPr>
        <w:rFonts w:ascii="Arial" w:cs="Arial" w:eastAsia="Arial" w:hAnsi="Arial"/>
        <w:sz w:val="14"/>
        <w:szCs w:val="14"/>
        <w:rtl w:val="0"/>
      </w:rPr>
      <w:t xml:space="preserve">Copyright © 2022 National Math + Science Initiative, Dallas, Texas. All rights reserved. Visit us online at</w:t>
    </w:r>
    <w:hyperlink r:id="rId1">
      <w:r w:rsidDel="00000000" w:rsidR="00000000" w:rsidRPr="00000000">
        <w:rPr>
          <w:rFonts w:ascii="Arial" w:cs="Arial" w:eastAsia="Arial" w:hAnsi="Arial"/>
          <w:sz w:val="14"/>
          <w:szCs w:val="14"/>
          <w:rtl w:val="0"/>
        </w:rPr>
        <w:t xml:space="preserve"> </w:t>
      </w:r>
    </w:hyperlink>
    <w:hyperlink r:id="rId2">
      <w:r w:rsidDel="00000000" w:rsidR="00000000" w:rsidRPr="00000000">
        <w:rPr>
          <w:rFonts w:ascii="Arial" w:cs="Arial" w:eastAsia="Arial" w:hAnsi="Arial"/>
          <w:color w:val="0563c1"/>
          <w:sz w:val="14"/>
          <w:szCs w:val="14"/>
          <w:u w:val="single"/>
          <w:rtl w:val="0"/>
        </w:rPr>
        <w:t xml:space="preserve">www.nms.org</w:t>
      </w:r>
    </w:hyperlink>
    <w:r w:rsidDel="00000000" w:rsidR="00000000" w:rsidRPr="00000000">
      <w:rPr>
        <w:rFonts w:ascii="Arial" w:cs="Arial" w:eastAsia="Arial" w:hAnsi="Arial"/>
        <w:sz w:val="14"/>
        <w:szCs w:val="14"/>
        <w:rtl w:val="0"/>
      </w:rPr>
      <w:t xml:space="preserve">. AP®* is a trademark of the College Entrance Examination Board. The College Entrance Examination Board was not involved in the production of this material. Used with permission.  </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A">
    <w:pPr>
      <w:rPr>
        <w:rFonts w:ascii="Arial" w:cs="Arial" w:eastAsia="Arial" w:hAnsi="Arial"/>
        <w:b w:val="1"/>
        <w:color w:val="6d6d6a"/>
        <w:sz w:val="18"/>
        <w:szCs w:val="18"/>
      </w:rPr>
    </w:pPr>
    <w:r w:rsidDel="00000000" w:rsidR="00000000" w:rsidRPr="00000000">
      <w:rPr>
        <w:rFonts w:ascii="Arial" w:cs="Arial" w:eastAsia="Arial" w:hAnsi="Arial"/>
        <w:b w:val="1"/>
      </w:rPr>
      <w:drawing>
        <wp:inline distB="0" distT="0" distL="0" distR="0">
          <wp:extent cx="1393190" cy="365760"/>
          <wp:effectExtent b="0" l="0" r="0" t="0"/>
          <wp:docPr descr="A close up of a sign&#10;&#10;Description automatically generated" id="2" name="image1.png"/>
          <a:graphic>
            <a:graphicData uri="http://schemas.openxmlformats.org/drawingml/2006/picture">
              <pic:pic>
                <pic:nvPicPr>
                  <pic:cNvPr descr="A close up of a sign&#10;&#10;Description automatically generated" id="0" name="image1.png"/>
                  <pic:cNvPicPr preferRelativeResize="0"/>
                </pic:nvPicPr>
                <pic:blipFill>
                  <a:blip r:embed="rId1"/>
                  <a:srcRect b="0" l="0" r="0" t="0"/>
                  <a:stretch>
                    <a:fillRect/>
                  </a:stretch>
                </pic:blipFill>
                <pic:spPr>
                  <a:xfrm>
                    <a:off x="0" y="0"/>
                    <a:ext cx="1393190" cy="365760"/>
                  </a:xfrm>
                  <a:prstGeom prst="rect"/>
                  <a:ln/>
                </pic:spPr>
              </pic:pic>
            </a:graphicData>
          </a:graphic>
        </wp:inline>
      </w:drawing>
    </w:r>
    <w:r w:rsidDel="00000000" w:rsidR="00000000" w:rsidRPr="00000000">
      <w:rPr>
        <w:rFonts w:ascii="Arial" w:cs="Arial" w:eastAsia="Arial" w:hAnsi="Arial"/>
        <w:b w:val="1"/>
        <w:rtl w:val="0"/>
      </w:rPr>
      <w:tab/>
      <w:tab/>
      <w:tab/>
      <w:tab/>
      <w:t xml:space="preserve">          </w:t>
      <w:tab/>
      <w:tab/>
      <w:t xml:space="preserve">    </w:t>
      <w:tab/>
      <w:t xml:space="preserve">  </w:t>
    </w:r>
    <w:r w:rsidDel="00000000" w:rsidR="00000000" w:rsidRPr="00000000">
      <w:rPr>
        <w:rFonts w:ascii="Arial" w:cs="Arial" w:eastAsia="Arial" w:hAnsi="Arial"/>
        <w:b w:val="1"/>
        <w:color w:val="6d6d6a"/>
        <w:sz w:val="18"/>
        <w:szCs w:val="18"/>
        <w:rtl w:val="0"/>
      </w:rPr>
      <w:t xml:space="preserve">AP</w:t>
    </w:r>
    <w:r w:rsidDel="00000000" w:rsidR="00000000" w:rsidRPr="00000000">
      <w:rPr>
        <w:rFonts w:ascii="Arial" w:cs="Arial" w:eastAsia="Arial" w:hAnsi="Arial"/>
        <w:b w:val="1"/>
        <w:sz w:val="18"/>
        <w:szCs w:val="18"/>
        <w:vertAlign w:val="superscript"/>
        <w:rtl w:val="0"/>
      </w:rPr>
      <w:t xml:space="preserve">®</w:t>
    </w:r>
    <w:r w:rsidDel="00000000" w:rsidR="00000000" w:rsidRPr="00000000">
      <w:rPr>
        <w:rFonts w:ascii="Arial" w:cs="Arial" w:eastAsia="Arial" w:hAnsi="Arial"/>
        <w:b w:val="1"/>
        <w:color w:val="6d6d6a"/>
        <w:sz w:val="18"/>
        <w:szCs w:val="18"/>
        <w:rtl w:val="0"/>
      </w:rPr>
      <w:t xml:space="preserve"> Computer Science Principles </w:t>
    </w:r>
  </w:p>
  <w:p w:rsidR="00000000" w:rsidDel="00000000" w:rsidP="00000000" w:rsidRDefault="00000000" w:rsidRPr="00000000" w14:paraId="0000003B">
    <w:pPr>
      <w:spacing w:line="259" w:lineRule="auto"/>
      <w:rPr>
        <w:rFonts w:ascii="Montserrat" w:cs="Montserrat" w:eastAsia="Montserrat" w:hAnsi="Montserrat"/>
        <w:color w:val="6d6d6a"/>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72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w:cs="Noto Sans" w:eastAsia="Noto Sans" w:hAnsi="Noto San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5">
    <w:lvl w:ilvl="0">
      <w:start w:val="1"/>
      <w:numFmt w:val="bullet"/>
      <w:lvlText w:val="●"/>
      <w:lvlJc w:val="left"/>
      <w:pPr>
        <w:ind w:left="720" w:hanging="360"/>
      </w:pPr>
      <w:rPr>
        <w:rFonts w:ascii="Noto Sans Symbols" w:cs="Noto Sans Symbols" w:eastAsia="Noto Sans Symbols" w:hAnsi="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720" w:hanging="360"/>
      </w:pPr>
      <w:rPr>
        <w:rFonts w:ascii="Noto Sans Symbols" w:cs="Noto Sans Symbols" w:eastAsia="Noto Sans Symbols" w:hAnsi="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before="40" w:lineRule="auto"/>
    </w:pPr>
    <w:rPr>
      <w:rFonts w:ascii="Calibri" w:cs="Calibri" w:eastAsia="Calibri" w:hAnsi="Calibri"/>
      <w:color w:val="2e75b5"/>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2">
    <w:basedOn w:val="TableNormal"/>
    <w:tblPr>
      <w:tblStyleRowBandSize w:val="1"/>
      <w:tblStyleColBandSize w:val="1"/>
      <w:tblCellMar>
        <w:top w:w="0.0" w:type="dxa"/>
        <w:left w:w="108.0" w:type="dxa"/>
        <w:bottom w:w="0.0" w:type="dxa"/>
        <w:right w:w="108.0" w:type="dxa"/>
      </w:tblCellMar>
    </w:tbl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s>
</file>

<file path=word/_rels/document.xml.rels><?xml version="1.0" encoding="UTF-8" standalone="yes"?><Relationships xmlns="http://schemas.openxmlformats.org/package/2006/relationships"><Relationship Id="rId11" Type="http://schemas.openxmlformats.org/officeDocument/2006/relationships/hyperlink" Target="https://help.peardeck.com/how-to-present-a-pear-deck" TargetMode="External"/><Relationship Id="rId10" Type="http://schemas.openxmlformats.org/officeDocument/2006/relationships/hyperlink" Target="https://chrome.google.com/webstore/detail/pear-deck-power-up/paijmjmfnjcbjlimjeminlepannmimbi?hl=en" TargetMode="External"/><Relationship Id="rId13" Type="http://schemas.openxmlformats.org/officeDocument/2006/relationships/header" Target="header1.xml"/><Relationship Id="rId12" Type="http://schemas.openxmlformats.org/officeDocument/2006/relationships/hyperlink" Target="https://create.kahoot.it/details/1298c151-0db4-4e19-8c02-6f8e0b802b9d"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hrome.google.com/webstore/detail/pear-deck/dnloadmamaeibnaadmfdfelflmmnbajd?hl=en" TargetMode="External"/><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s://create.kahoot.it/details/1298c151-0db4-4e19-8c02-6f8e0b802b9d" TargetMode="External"/><Relationship Id="rId8" Type="http://schemas.openxmlformats.org/officeDocument/2006/relationships/hyperlink" Target="https://www.theguardian.com/technology/2022/aug/23/voice-accent-technology-call-center-white-american"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hyperlink" Target="http://www.nms.org" TargetMode="External"/><Relationship Id="rId2" Type="http://schemas.openxmlformats.org/officeDocument/2006/relationships/hyperlink" Target="http://www.nms.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